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</w:t>
      </w:r>
      <w:r>
        <w:rPr>
          <w:rFonts w:ascii="Times New Roman" w:hAnsi="Times New Roman"/>
          <w:sz w:val="26"/>
          <w:szCs w:val="26"/>
        </w:rPr>
        <w:t xml:space="preserve">ТВЕРЖДАЮ:</w:t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директора </w:t>
      </w:r>
      <w:r>
        <w:rPr>
          <w:rFonts w:ascii="Times New Roman" w:hAnsi="Times New Roman"/>
          <w:sz w:val="26"/>
          <w:szCs w:val="26"/>
        </w:rPr>
        <w:t xml:space="preserve">по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техническим вопросам –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инженер </w:t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_________________</w:t>
      </w:r>
      <w:r>
        <w:rPr>
          <w:rFonts w:ascii="Times New Roman" w:hAnsi="Times New Roman"/>
          <w:sz w:val="26"/>
          <w:szCs w:val="26"/>
        </w:rPr>
        <w:t xml:space="preserve">А.И. Таранков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ind w:left="567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«___»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________________2024</w:t>
      </w:r>
      <w:r>
        <w:rPr>
          <w:rFonts w:ascii="Times New Roman" w:hAnsi="Times New Roman"/>
          <w:sz w:val="26"/>
          <w:szCs w:val="26"/>
        </w:rPr>
        <w:t xml:space="preserve"> г.</w:t>
      </w:r>
      <w:r>
        <w:rPr>
          <w:rFonts w:ascii="Times New Roman" w:hAnsi="Times New Roman"/>
          <w:sz w:val="26"/>
          <w:szCs w:val="26"/>
        </w:rPr>
      </w:r>
    </w:p>
    <w:p>
      <w:pPr>
        <w:pStyle w:val="73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3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679"/>
        <w:jc w:val="center"/>
        <w:rPr>
          <w:b/>
          <w:sz w:val="26"/>
          <w:szCs w:val="26"/>
        </w:rPr>
      </w:pPr>
      <w:r>
        <w:rPr>
          <w:sz w:val="26"/>
          <w:szCs w:val="26"/>
        </w:rPr>
        <w:t xml:space="preserve">на поставку </w:t>
      </w:r>
      <w:r>
        <w:rPr>
          <w:sz w:val="26"/>
          <w:szCs w:val="26"/>
        </w:rPr>
        <w:t xml:space="preserve">средств защиты головы, рук, органов зрения, слуха, дыхания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73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32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 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</w:r>
    </w:p>
    <w:p>
      <w:pPr>
        <w:pStyle w:val="732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</w:p>
    <w:p>
      <w:pPr>
        <w:pStyle w:val="732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Заказчик: АО «</w:t>
      </w:r>
      <w:r>
        <w:rPr>
          <w:rFonts w:ascii="Times New Roman" w:hAnsi="Times New Roman"/>
          <w:sz w:val="26"/>
          <w:szCs w:val="26"/>
        </w:rPr>
        <w:t xml:space="preserve">Россети Сибирь </w:t>
      </w:r>
      <w:r>
        <w:rPr>
          <w:rFonts w:ascii="Times New Roman" w:hAnsi="Times New Roman"/>
          <w:sz w:val="26"/>
          <w:szCs w:val="26"/>
        </w:rPr>
        <w:t xml:space="preserve">Тываэнерго» </w:t>
      </w:r>
      <w:r>
        <w:rPr>
          <w:rFonts w:ascii="Times New Roman" w:hAnsi="Times New Roman"/>
          <w:sz w:val="26"/>
          <w:szCs w:val="26"/>
        </w:rPr>
      </w:r>
    </w:p>
    <w:p>
      <w:pPr>
        <w:pStyle w:val="732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Предмет закупки: поставка </w:t>
      </w:r>
      <w:r>
        <w:rPr>
          <w:rFonts w:ascii="Times New Roman" w:hAnsi="Times New Roman"/>
          <w:sz w:val="26"/>
          <w:szCs w:val="26"/>
        </w:rPr>
        <w:t xml:space="preserve">средств защиты головы, рук, органов зрения, слуха, дыхания.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2"/>
        <w:ind w:firstLine="568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  </w:t>
      </w:r>
      <w:r>
        <w:rPr>
          <w:rFonts w:ascii="Times New Roman" w:hAnsi="Times New Roman"/>
          <w:sz w:val="26"/>
          <w:szCs w:val="26"/>
        </w:rPr>
      </w:r>
    </w:p>
    <w:p>
      <w:pPr>
        <w:pStyle w:val="732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</w:p>
    <w:p>
      <w:pPr>
        <w:pStyle w:val="679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2.1 Место поставки: Центральный склад, г. Кызыл, ул. Колхозная, 2</w:t>
      </w:r>
      <w:r>
        <w:rPr>
          <w:sz w:val="26"/>
          <w:szCs w:val="26"/>
        </w:rPr>
        <w:t xml:space="preserve">б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79"/>
        <w:contextualSpacing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Поставка продукции осуществляется </w:t>
      </w:r>
      <w:r>
        <w:rPr>
          <w:sz w:val="26"/>
          <w:szCs w:val="26"/>
        </w:rPr>
        <w:t xml:space="preserve">до места поставки силами и средствами поставщика.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</w:p>
    <w:p>
      <w:pPr>
        <w:pStyle w:val="679"/>
        <w:contextualSpacing/>
        <w:ind w:firstLine="709"/>
        <w:jc w:val="both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должны соот</w:t>
      </w:r>
      <w:r>
        <w:rPr>
          <w:sz w:val="26"/>
          <w:szCs w:val="26"/>
        </w:rPr>
        <w:t xml:space="preserve">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sz w:val="26"/>
          <w:szCs w:val="26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 </w:t>
      </w:r>
      <w:r>
        <w:rPr>
          <w:sz w:val="26"/>
          <w:szCs w:val="26"/>
        </w:rPr>
        <w:t xml:space="preserve">Срок поста</w:t>
      </w:r>
      <w:r>
        <w:rPr>
          <w:sz w:val="26"/>
          <w:szCs w:val="26"/>
        </w:rPr>
        <w:t xml:space="preserve">вки: в </w:t>
      </w:r>
      <w:r>
        <w:rPr>
          <w:sz w:val="26"/>
          <w:szCs w:val="26"/>
        </w:rPr>
        <w:t xml:space="preserve">течение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30 календарных дней с даты заключения договора.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732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Цена, перечень и объемы поставки 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</w:p>
    <w:p>
      <w:pPr>
        <w:pStyle w:val="679"/>
        <w:ind w:firstLine="709"/>
        <w:jc w:val="both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3.1. Общая цена, перечень и объемы поставляемой продукции указаны в приложении №1 к настоящему техническому заданию.</w:t>
      </w:r>
      <w:r>
        <w:rPr>
          <w:sz w:val="26"/>
          <w:szCs w:val="26"/>
        </w:rPr>
      </w:r>
    </w:p>
    <w:p>
      <w:pPr>
        <w:pStyle w:val="732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3.2.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 включены в стоимость заявки/предложения участника.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</w:p>
    <w:p>
      <w:pPr>
        <w:pStyle w:val="732"/>
        <w:ind w:firstLine="56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    </w:t>
      </w:r>
      <w:r>
        <w:rPr>
          <w:rFonts w:ascii="Times New Roman" w:hAnsi="Times New Roman"/>
          <w:sz w:val="26"/>
          <w:szCs w:val="26"/>
        </w:rPr>
      </w:r>
    </w:p>
    <w:p>
      <w:pPr>
        <w:pStyle w:val="679"/>
        <w:ind w:firstLine="709"/>
        <w:jc w:val="both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4.1.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4.2.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Поставляемая продукция должна соответствовать требованиям</w:t>
      </w:r>
      <w:r>
        <w:rPr>
          <w:sz w:val="26"/>
          <w:szCs w:val="26"/>
        </w:rPr>
        <w:t xml:space="preserve"> Положения ПАО «Россети» о единой технической политике в электросетевом комплексе</w:t>
      </w:r>
      <w:r>
        <w:rPr>
          <w:rFonts w:ascii="Times New Roman CYR" w:hAnsi="Times New Roman CYR" w:cs="Times New Roman CYR"/>
          <w:i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. Продукция</w:t>
      </w:r>
      <w:r>
        <w:rPr>
          <w:rFonts w:ascii="Times New Roman CYR" w:hAnsi="Times New Roman CYR" w:cs="Times New Roman CYR"/>
          <w:sz w:val="26"/>
          <w:szCs w:val="26"/>
        </w:rPr>
        <w:t xml:space="preserve">,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внесенная в Единый перечень продукции, подлежащей обязательной сертификации </w:t>
      </w:r>
      <w:r>
        <w:rPr>
          <w:rFonts w:ascii="Times New Roman CYR" w:hAnsi="Times New Roman CYR" w:cs="Times New Roman CYR"/>
          <w:sz w:val="26"/>
          <w:szCs w:val="26"/>
        </w:rPr>
        <w:t xml:space="preserve">должна иметь сертификаты соответствия </w:t>
      </w:r>
      <w:r>
        <w:rPr>
          <w:rFonts w:ascii="Times New Roman CYR" w:hAnsi="Times New Roman CYR" w:cs="Times New Roman CYR"/>
          <w:sz w:val="26"/>
          <w:szCs w:val="26"/>
        </w:rPr>
        <w:t xml:space="preserve">ГОСТ Р.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4.5.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Продукция должна иметь иные </w:t>
      </w:r>
      <w:r>
        <w:rPr>
          <w:rFonts w:ascii="Times New Roman CYR" w:hAnsi="Times New Roman CYR" w:cs="Times New Roman CYR"/>
          <w:sz w:val="26"/>
          <w:szCs w:val="26"/>
        </w:rPr>
        <w:t xml:space="preserve">сертификаты (сертификат соответствия требованиям ТР ТС 019/2011).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i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</w:t>
      </w:r>
      <w:r>
        <w:rPr>
          <w:rFonts w:ascii="Times New Roman CYR" w:hAnsi="Times New Roman CYR" w:cs="Times New Roman CYR"/>
          <w:sz w:val="26"/>
          <w:szCs w:val="26"/>
        </w:rPr>
        <w:t xml:space="preserve">6</w:t>
      </w:r>
      <w:r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Продукция должна снабжаться идентифицирующей и информационной м</w:t>
      </w:r>
      <w:r>
        <w:rPr>
          <w:rFonts w:ascii="Times New Roman CYR" w:hAnsi="Times New Roman CYR" w:cs="Times New Roman CYR"/>
          <w:sz w:val="26"/>
          <w:szCs w:val="26"/>
        </w:rPr>
        <w:t xml:space="preserve">аркировк</w:t>
      </w:r>
      <w:r>
        <w:rPr>
          <w:rFonts w:ascii="Times New Roman CYR" w:hAnsi="Times New Roman CYR" w:cs="Times New Roman CYR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продукции</w:t>
      </w:r>
      <w:r>
        <w:rPr>
          <w:rFonts w:ascii="Times New Roman CYR" w:hAnsi="Times New Roman CYR" w:cs="Times New Roman CYR"/>
          <w:sz w:val="26"/>
          <w:szCs w:val="26"/>
        </w:rPr>
        <w:t xml:space="preserve"> (</w:t>
      </w:r>
      <w:r>
        <w:rPr>
          <w:sz w:val="26"/>
          <w:szCs w:val="26"/>
        </w:rPr>
        <w:t xml:space="preserve">иметь четкие обозначения изготовителя, номера партии и даты изготовления</w:t>
      </w:r>
      <w:r>
        <w:rPr>
          <w:sz w:val="26"/>
          <w:szCs w:val="26"/>
        </w:rPr>
        <w:t xml:space="preserve"> и т.д.)</w:t>
      </w:r>
      <w:r>
        <w:rPr>
          <w:i/>
          <w:sz w:val="26"/>
          <w:szCs w:val="26"/>
        </w:rPr>
        <w:t xml:space="preserve">.</w:t>
      </w:r>
      <w:r>
        <w:rPr>
          <w:i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 CYR" w:hAnsi="Times New Roman CYR" w:cs="Times New Roman CYR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 CYR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4.7</w:t>
      </w:r>
      <w:r>
        <w:rPr>
          <w:rFonts w:ascii="Times New Roman CYR" w:hAnsi="Times New Roman CYR" w:cs="Times New Roman CYR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5. Участник обязан предоставить следующие документы, подтверждающие соответствие продукции установленным требованиям:</w:t>
      </w:r>
      <w:r>
        <w:rPr>
          <w:rFonts w:ascii="Times New Roman CYR" w:hAnsi="Times New Roman CYR" w:cs="Times New Roman CYR"/>
          <w:b/>
          <w:sz w:val="26"/>
          <w:szCs w:val="26"/>
        </w:rPr>
      </w:r>
    </w:p>
    <w:p>
      <w:pPr>
        <w:pStyle w:val="679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5.1</w:t>
      </w:r>
      <w:r>
        <w:rPr>
          <w:rFonts w:ascii="Times New Roman CYR" w:hAnsi="Times New Roman CYR" w:cs="Times New Roman CYR"/>
          <w:sz w:val="26"/>
          <w:szCs w:val="26"/>
        </w:rPr>
        <w:t xml:space="preserve">. Предоставление российских сертификатов (декларации/свидетельства) в соответствии с п.4.5 настоящего технического задания.</w:t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79"/>
        <w:ind w:firstLine="709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6. Гарантийные обязательства. </w:t>
      </w:r>
      <w:r>
        <w:rPr>
          <w:b/>
          <w:sz w:val="26"/>
          <w:szCs w:val="26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6.1. </w:t>
      </w:r>
      <w:r>
        <w:rPr>
          <w:sz w:val="26"/>
          <w:szCs w:val="26"/>
        </w:rPr>
        <w:t xml:space="preserve">Срок гарантии на поставляемые материалы должен быть не менее 1 года. Время начала исчисления гарантийного срока – с момента поставки продукции на склад Заказчика.</w:t>
      </w:r>
      <w:r>
        <w:rPr>
          <w:sz w:val="26"/>
          <w:szCs w:val="26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Гарантийный срок в этом случае продлевается соответственно</w:t>
      </w:r>
      <w:r>
        <w:rPr>
          <w:sz w:val="26"/>
          <w:szCs w:val="26"/>
        </w:rPr>
        <w:t xml:space="preserve"> на период устранения дефектов (п</w:t>
      </w:r>
      <w:r>
        <w:rPr>
          <w:sz w:val="26"/>
          <w:szCs w:val="26"/>
        </w:rPr>
        <w:t xml:space="preserve">оставщик гарантирует, что характеристи</w:t>
      </w:r>
      <w:r>
        <w:rPr>
          <w:sz w:val="26"/>
          <w:szCs w:val="26"/>
        </w:rPr>
        <w:t xml:space="preserve">ки поставляемого товара, соответствуют характеристикам, установленным в ТЗ, в том числе характеристикам, определяемым, как методом визуального осмотра (видимым характеристикам), так и лабораторными методами (скрытым характеристикам). По требованию Заказчик</w:t>
      </w:r>
      <w:r>
        <w:rPr>
          <w:sz w:val="26"/>
          <w:szCs w:val="26"/>
        </w:rPr>
        <w:t xml:space="preserve">а Поставщик обязан в течение 3 (трех) рабочих дней представить Заказчику заверенные подписью руководителя или уполномоченного представителя Поставщика документы, подтверждающие соответствие скрытых характеристик поставляемого товара характеристикам товара.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Заказчик вправе провести соответствующую то</w:t>
      </w:r>
      <w:r>
        <w:rPr>
          <w:sz w:val="26"/>
          <w:szCs w:val="26"/>
        </w:rPr>
        <w:t xml:space="preserve">варную экспертизу на предмет выявления соответствия скрытых характеристик контрольных образцов, характеристикам товара, установленным в ТЗ. В случае выявления несоответствий по скрытым характеристикам расходы по проведенной экспертизе будет нести Поставщик</w:t>
      </w:r>
      <w:r>
        <w:rPr>
          <w:sz w:val="26"/>
          <w:szCs w:val="26"/>
        </w:rPr>
        <w:t xml:space="preserve">).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79"/>
        <w:ind w:firstLine="568"/>
        <w:jc w:val="both"/>
        <w:tabs>
          <w:tab w:val="left" w:pos="0" w:leader="none"/>
        </w:tabs>
        <w:rPr>
          <w:sz w:val="26"/>
          <w:szCs w:val="26"/>
          <w:highlight w:val="yellow"/>
        </w:rPr>
      </w:pPr>
      <w:r>
        <w:rPr>
          <w:sz w:val="26"/>
          <w:szCs w:val="26"/>
          <w:highlight w:val="yellow"/>
        </w:rPr>
      </w:r>
      <w:r>
        <w:rPr>
          <w:sz w:val="26"/>
          <w:szCs w:val="26"/>
          <w:highlight w:val="yellow"/>
        </w:rPr>
      </w:r>
    </w:p>
    <w:p>
      <w:pPr>
        <w:pStyle w:val="679"/>
        <w:ind w:firstLine="709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7</w:t>
      </w:r>
      <w:r>
        <w:rPr>
          <w:b/>
          <w:bCs/>
          <w:sz w:val="26"/>
          <w:szCs w:val="26"/>
        </w:rPr>
        <w:t xml:space="preserve">. Правила приемки продукции.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</w:r>
    </w:p>
    <w:p>
      <w:pPr>
        <w:pStyle w:val="679"/>
        <w:ind w:firstLine="709"/>
        <w:jc w:val="both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</w:pPr>
      <w:r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</w:t>
      </w:r>
      <w:r>
        <w:rPr>
          <w:rFonts w:ascii="Times New Roman CYR" w:hAnsi="Times New Roman CYR" w:cs="Times New Roman CYR"/>
          <w:sz w:val="26"/>
          <w:szCs w:val="26"/>
        </w:rPr>
        <w:t xml:space="preserve">проходит входной контроль, осуществляемый представителями </w:t>
      </w:r>
      <w:r>
        <w:rPr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cs="Times New Roman CYR"/>
          <w:sz w:val="26"/>
          <w:szCs w:val="26"/>
        </w:rPr>
        <w:t xml:space="preserve"> при</w:t>
      </w:r>
      <w:r>
        <w:rPr>
          <w:rFonts w:ascii="Times New Roman CYR" w:hAnsi="Times New Roman CYR" w:cs="Times New Roman CYR"/>
          <w:sz w:val="26"/>
          <w:szCs w:val="26"/>
        </w:rPr>
        <w:t xml:space="preserve"> получении на склад.</w:t>
      </w:r>
      <w:r/>
    </w:p>
    <w:p>
      <w:pPr>
        <w:pStyle w:val="679"/>
        <w:ind w:firstLine="709"/>
        <w:jc w:val="both"/>
        <w:shd w:val="clear" w:color="auto" w:fill="ffffff"/>
      </w:pPr>
      <w:r>
        <w:rPr>
          <w:rFonts w:ascii="Times New Roman CYR" w:hAnsi="Times New Roman CYR" w:cs="Times New Roman CYR"/>
          <w:sz w:val="26"/>
          <w:szCs w:val="26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cs="Times New Roman CYR"/>
          <w:sz w:val="26"/>
          <w:szCs w:val="26"/>
        </w:rPr>
        <w:t xml:space="preserve">законодательством Российской Федерации (ст.513 ГК РФ) и условиям настоящего Договора.</w:t>
      </w:r>
      <w:r/>
    </w:p>
    <w:p>
      <w:pPr>
        <w:pStyle w:val="679"/>
        <w:ind w:firstLine="709"/>
        <w:jc w:val="both"/>
        <w:shd w:val="clear" w:color="auto" w:fill="ffffff"/>
      </w:pPr>
      <w:r>
        <w:rPr>
          <w:rFonts w:ascii="Times New Roman CYR" w:hAnsi="Times New Roman CYR" w:cs="Times New Roman CYR"/>
          <w:sz w:val="26"/>
          <w:szCs w:val="26"/>
        </w:rPr>
        <w:t xml:space="preserve">Приемка продукции по количеству производится в соответствии </w:t>
      </w:r>
      <w:r>
        <w:rPr>
          <w:rFonts w:ascii="Times New Roman CYR" w:hAnsi="Times New Roman CYR" w:cs="Times New Roman CYR"/>
          <w:sz w:val="26"/>
          <w:szCs w:val="26"/>
        </w:rPr>
        <w:t xml:space="preserve">законодательством Российской Федерации (ст.513 ГК РФ) и условиям настоящего Договора.</w:t>
      </w:r>
      <w:r/>
    </w:p>
    <w:p>
      <w:pPr>
        <w:pStyle w:val="679"/>
        <w:ind w:firstLine="709"/>
        <w:jc w:val="both"/>
        <w:shd w:val="clear" w:color="auto" w:fill="ffffff"/>
      </w:pPr>
      <w:r>
        <w:rPr>
          <w:rFonts w:ascii="Times New Roman CYR" w:hAnsi="Times New Roman CYR" w:cs="Times New Roman CYR"/>
          <w:sz w:val="26"/>
          <w:szCs w:val="26"/>
        </w:rPr>
        <w:t xml:space="preserve">При приемке продукции осуществляется:</w:t>
      </w:r>
      <w:r>
        <w:t xml:space="preserve"> </w:t>
      </w:r>
      <w:r/>
    </w:p>
    <w:p>
      <w:pPr>
        <w:pStyle w:val="679"/>
        <w:ind w:firstLine="709"/>
        <w:jc w:val="both"/>
        <w:shd w:val="clear" w:color="auto" w:fill="ffffff"/>
      </w:pPr>
      <w:r>
        <w:rPr>
          <w:rFonts w:ascii="Times New Roman CYR" w:hAnsi="Times New Roman CYR" w:cs="Times New Roman CYR"/>
          <w:sz w:val="26"/>
          <w:szCs w:val="26"/>
        </w:rPr>
        <w:t xml:space="preserve">– внешний осмотр тары и упаковки:</w:t>
      </w:r>
      <w:r>
        <w:t xml:space="preserve"> </w:t>
      </w:r>
      <w:r/>
    </w:p>
    <w:p>
      <w:pPr>
        <w:pStyle w:val="679"/>
        <w:ind w:firstLine="709"/>
        <w:jc w:val="both"/>
        <w:shd w:val="clear" w:color="auto" w:fill="ffffff"/>
      </w:pPr>
      <w:r>
        <w:rPr>
          <w:rFonts w:ascii="Times New Roman CYR" w:hAnsi="Times New Roman CYR" w:cs="Times New Roman CYR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t xml:space="preserve"> </w:t>
      </w:r>
      <w:r/>
    </w:p>
    <w:p>
      <w:pPr>
        <w:pStyle w:val="679"/>
        <w:ind w:firstLine="709"/>
        <w:jc w:val="both"/>
        <w:shd w:val="clear" w:color="auto" w:fill="ffffff"/>
      </w:pPr>
      <w:r>
        <w:rPr>
          <w:rFonts w:ascii="Times New Roman CYR" w:hAnsi="Times New Roman CYR" w:cs="Times New Roman CYR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cs="Times New Roman CYR"/>
          <w:sz w:val="26"/>
          <w:szCs w:val="26"/>
        </w:rPr>
        <w:t xml:space="preserve">;</w:t>
      </w:r>
      <w: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 </w:t>
      </w:r>
      <w:r>
        <w:t xml:space="preserve"> </w:t>
      </w:r>
      <w:r/>
    </w:p>
    <w:p>
      <w:pPr>
        <w:pStyle w:val="679"/>
        <w:ind w:firstLine="709"/>
        <w:jc w:val="both"/>
        <w:tabs>
          <w:tab w:val="left" w:pos="878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sz w:val="26"/>
          <w:szCs w:val="26"/>
        </w:rPr>
      </w:r>
    </w:p>
    <w:p>
      <w:pPr>
        <w:pStyle w:val="679"/>
        <w:ind w:firstLine="709"/>
        <w:jc w:val="both"/>
        <w:tabs>
          <w:tab w:val="left" w:pos="878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sz w:val="26"/>
          <w:szCs w:val="26"/>
        </w:rPr>
      </w:r>
    </w:p>
    <w:p>
      <w:pPr>
        <w:pStyle w:val="679"/>
        <w:ind w:firstLine="709"/>
        <w:jc w:val="both"/>
        <w:tabs>
          <w:tab w:val="left" w:pos="878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>
        <w:rPr>
          <w:sz w:val="26"/>
          <w:szCs w:val="26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pStyle w:val="679"/>
        <w:ind w:firstLine="708"/>
        <w:jc w:val="both"/>
        <w:rPr>
          <w:rFonts w:ascii="Times New Roman CYR" w:hAnsi="Times New Roman CYR" w:cs="Times New Roman CYR"/>
        </w:rPr>
      </w:pPr>
      <w:r>
        <w:rPr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cs="Times New Roman CYR"/>
        </w:rPr>
      </w:r>
      <w:r>
        <w:rPr>
          <w:rFonts w:ascii="Times New Roman CYR" w:hAnsi="Times New Roman CYR" w:cs="Times New Roman CYR"/>
        </w:rPr>
      </w:r>
    </w:p>
    <w:p>
      <w:pPr>
        <w:pStyle w:val="732"/>
        <w:ind w:firstLine="56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0"/>
        <w:ind w:left="0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000000" w:sz="0" w:space="0"/>
          <w:insideV w:val="none" w:color="000000" w:sz="0" w:space="0"/>
        </w:tblBorders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4A0" w:firstRow="1" w:lastRow="0" w:firstColumn="1" w:lastColumn="0" w:noHBand="0" w:noVBand="1"/>
      </w:tblPr>
      <w:tblGrid>
        <w:gridCol w:w="660"/>
        <w:gridCol w:w="881"/>
        <w:gridCol w:w="4833"/>
        <w:gridCol w:w="1276"/>
        <w:gridCol w:w="19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679"/>
              <w:contextualSpacing/>
              <w:jc w:val="center"/>
              <w:tabs>
                <w:tab w:val="left" w:pos="8789" w:leader="none"/>
              </w:tabs>
              <w:rPr>
                <w:rFonts w:ascii="Calibri" w:hAnsi="Calibri"/>
              </w:rPr>
            </w:pPr>
            <w:r>
              <w:rPr>
                <w:rFonts w:ascii="Times New Roman CYR" w:hAnsi="Times New Roman CYR" w:cs="Times New Roman CYR"/>
              </w:rPr>
              <w:t xml:space="preserve">№ п/п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679"/>
              <w:contextualSpacing/>
              <w:jc w:val="center"/>
              <w:tabs>
                <w:tab w:val="left" w:pos="8789" w:leader="none"/>
              </w:tabs>
              <w:rPr>
                <w:rFonts w:ascii="Calibri" w:hAnsi="Calibri"/>
              </w:rPr>
            </w:pPr>
            <w:r>
              <w:rPr>
                <w:rFonts w:ascii="Times New Roman CYR" w:hAnsi="Times New Roman CYR" w:cs="Times New Roman CYR"/>
              </w:rPr>
              <w:t xml:space="preserve">Дата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center"/>
            <w:textDirection w:val="lrTb"/>
            <w:noWrap w:val="false"/>
          </w:tcPr>
          <w:p>
            <w:pPr>
              <w:pStyle w:val="679"/>
              <w:contextualSpacing/>
              <w:jc w:val="center"/>
              <w:tabs>
                <w:tab w:val="left" w:pos="8789" w:leader="none"/>
              </w:tabs>
              <w:rPr>
                <w:rFonts w:ascii="Calibri" w:hAnsi="Calibri"/>
              </w:rPr>
            </w:pPr>
            <w:r>
              <w:rPr>
                <w:rFonts w:ascii="Times New Roman CYR" w:hAnsi="Times New Roman CYR" w:cs="Times New Roman CYR"/>
              </w:rPr>
              <w:t xml:space="preserve">Должность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679"/>
              <w:contextualSpacing/>
              <w:jc w:val="center"/>
              <w:tabs>
                <w:tab w:val="left" w:pos="8789" w:leader="none"/>
              </w:tabs>
              <w:rPr>
                <w:rFonts w:ascii="Calibri" w:hAnsi="Calibri"/>
              </w:rPr>
            </w:pPr>
            <w:r>
              <w:rPr>
                <w:rFonts w:ascii="Times New Roman CYR" w:hAnsi="Times New Roman CYR" w:cs="Times New Roman CYR"/>
              </w:rPr>
              <w:t xml:space="preserve">Подпись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679"/>
              <w:contextualSpacing/>
              <w:jc w:val="center"/>
              <w:tabs>
                <w:tab w:val="left" w:pos="8789" w:leader="none"/>
              </w:tabs>
              <w:rPr>
                <w:rFonts w:ascii="Calibri" w:hAnsi="Calibri"/>
              </w:rPr>
            </w:pPr>
            <w:r>
              <w:rPr>
                <w:rFonts w:ascii="Times New Roman CYR" w:hAnsi="Times New Roman CYR" w:cs="Times New Roman CYR"/>
              </w:rPr>
              <w:t xml:space="preserve">ФИО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679"/>
              <w:jc w:val="center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1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679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главного инженера – начальник УПБиПК ПАО «Россети Сибирь»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Е.А. Вельман</w:t>
            </w:r>
            <w:r>
              <w:rPr>
                <w:rFonts w:ascii="Times New Roman CYR" w:hAnsi="Times New Roman CYR" w:cs="Times New Roman CYR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679"/>
              <w:jc w:val="center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2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679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Заместитель главного инженера – начальник СПБиПК АО «Россети Сибирь Тываэнерго»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Н.Н. Кудрявцев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000000" w:sz="0" w:space="0"/>
            <w:insideV w:val="none" w:color="000000" w:sz="0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0" w:type="dxa"/>
            <w:vAlign w:val="center"/>
            <w:textDirection w:val="lrTb"/>
            <w:noWrap w:val="false"/>
          </w:tcPr>
          <w:p>
            <w:pPr>
              <w:pStyle w:val="679"/>
              <w:jc w:val="center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3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81" w:type="dxa"/>
            <w:vAlign w:val="center"/>
            <w:textDirection w:val="lrTb"/>
            <w:noWrap w:val="false"/>
          </w:tcPr>
          <w:p>
            <w:pPr>
              <w:pStyle w:val="679"/>
              <w:jc w:val="center"/>
              <w:spacing w:before="100" w:beforeAutospacing="1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833" w:type="dxa"/>
            <w:vAlign w:val="top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Начальник</w:t>
            </w:r>
            <w:r>
              <w:rPr>
                <w:rFonts w:ascii="Times New Roman CYR" w:hAnsi="Times New Roman CYR" w:cs="Times New Roman CYR"/>
              </w:rPr>
              <w:t xml:space="preserve"> ОЛиМТО </w:t>
            </w:r>
            <w:r>
              <w:rPr>
                <w:rFonts w:ascii="Times New Roman CYR" w:hAnsi="Times New Roman CYR" w:cs="Times New Roman CYR"/>
              </w:rPr>
            </w:r>
          </w:p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АО «Россети Сибирь Тываэнерго»</w:t>
            </w: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</w:r>
            <w:r>
              <w:rPr>
                <w:rFonts w:ascii="Times New Roman CYR" w:hAnsi="Times New Roman CYR" w:cs="Times New Roman CYR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75" w:type="dxa"/>
            <w:vAlign w:val="center"/>
            <w:textDirection w:val="lrTb"/>
            <w:noWrap w:val="false"/>
          </w:tcPr>
          <w:p>
            <w:pPr>
              <w:pStyle w:val="679"/>
              <w:tabs>
                <w:tab w:val="left" w:pos="8789" w:leader="none"/>
              </w:tabs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В.В. Власов</w:t>
            </w:r>
            <w:r>
              <w:rPr>
                <w:rFonts w:ascii="Times New Roman CYR" w:hAnsi="Times New Roman CYR" w:cs="Times New Roman CYR"/>
              </w:rPr>
            </w:r>
          </w:p>
        </w:tc>
      </w:tr>
    </w:tbl>
    <w:p>
      <w:pPr>
        <w:pStyle w:val="730"/>
        <w:ind w:left="0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732"/>
        <w:jc w:val="both"/>
        <w:rPr>
          <w:rFonts w:ascii="Times New Roman" w:hAnsi="Times New Roman"/>
          <w:sz w:val="26"/>
          <w:szCs w:val="26"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418" w:right="709" w:bottom="1418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pStyle w:val="679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Приложение № 2</w:t>
      </w:r>
      <w:r>
        <w:rPr>
          <w:sz w:val="26"/>
          <w:szCs w:val="26"/>
        </w:rPr>
      </w:r>
    </w:p>
    <w:p>
      <w:pPr>
        <w:pStyle w:val="679"/>
        <w:ind w:left="11766"/>
        <w:rPr>
          <w:sz w:val="26"/>
          <w:szCs w:val="26"/>
        </w:rPr>
      </w:pPr>
      <w:r>
        <w:rPr>
          <w:sz w:val="26"/>
          <w:szCs w:val="26"/>
        </w:rPr>
        <w:t xml:space="preserve">к техническому заданию</w:t>
      </w:r>
      <w:r>
        <w:rPr>
          <w:sz w:val="26"/>
          <w:szCs w:val="26"/>
        </w:rPr>
      </w:r>
    </w:p>
    <w:p>
      <w:pPr>
        <w:pStyle w:val="679"/>
        <w:ind w:left="11766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679"/>
        <w:ind w:firstLine="851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Технические характеристики и требования на спецобувь.</w:t>
      </w:r>
      <w:r>
        <w:rPr>
          <w:sz w:val="26"/>
          <w:szCs w:val="26"/>
        </w:rPr>
      </w:r>
    </w:p>
    <w:tbl>
      <w:tblPr>
        <w:tblW w:w="467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3"/>
        <w:gridCol w:w="2538"/>
        <w:gridCol w:w="2312"/>
        <w:gridCol w:w="6368"/>
        <w:gridCol w:w="3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продукции</w:t>
            </w:r>
            <w:r>
              <w:rPr>
                <w:sz w:val="22"/>
                <w:szCs w:val="22"/>
              </w:rPr>
            </w:r>
          </w:p>
        </w:tc>
        <w:tc>
          <w:tcPr>
            <w:tcW w:w="764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Соответствие ГОСТ, ТУ</w:t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center"/>
            <w:textDirection w:val="lrTb"/>
            <w:noWrap w:val="false"/>
          </w:tcPr>
          <w:p>
            <w:pPr>
              <w:pStyle w:val="679"/>
              <w:ind w:firstLine="42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Технические характеристики требуемое значение параметра</w:t>
            </w:r>
            <w:r>
              <w:rPr>
                <w:rFonts w:eastAsia="Calibri"/>
                <w:sz w:val="22"/>
                <w:szCs w:val="22"/>
              </w:rPr>
            </w:r>
          </w:p>
        </w:tc>
        <w:tc>
          <w:tcPr>
            <w:tcW w:w="1124" w:type="pct"/>
            <w:vAlign w:val="center"/>
            <w:textDirection w:val="lrTb"/>
            <w:noWrap w:val="false"/>
          </w:tcPr>
          <w:p>
            <w:pPr>
              <w:pStyle w:val="679"/>
              <w:ind w:firstLine="426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blHeader/>
        </w:trPr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для защиты от искр и брызг расплавленного металла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/>
            </w:r>
            <w:r>
              <w:rPr>
                <w:sz w:val="20"/>
                <w:szCs w:val="20"/>
              </w:rPr>
              <w:instrText xml:space="preserve"> HYPERLINK "javascript:;" \o "Устано</w:instrText>
            </w:r>
            <w:r>
              <w:rPr>
                <w:sz w:val="20"/>
                <w:szCs w:val="20"/>
              </w:rPr>
              <w:instrText xml:space="preserve">в</w:instrText>
            </w:r>
            <w:r>
              <w:rPr>
                <w:sz w:val="20"/>
                <w:szCs w:val="20"/>
              </w:rPr>
              <w:instrText xml:space="preserve">ленные у Вас продукты не содержат этого документа. Обратитесь в сервисный центр" </w:instrText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rStyle w:val="701"/>
                <w:color w:val="000000"/>
                <w:sz w:val="20"/>
                <w:szCs w:val="20"/>
                <w:u w:val="none"/>
                <w:shd w:val="clear" w:color="auto" w:fill="ffffff"/>
              </w:rPr>
              <w:t xml:space="preserve">ГОСТ Р ИСО 11611-2011</w:t>
            </w:r>
            <w:r>
              <w:rPr>
                <w:rStyle w:val="701"/>
                <w:color w:val="000000"/>
                <w:sz w:val="20"/>
                <w:szCs w:val="20"/>
                <w:u w:val="none"/>
                <w:shd w:val="clear" w:color="auto" w:fill="ffffff"/>
              </w:rPr>
              <w:fldChar w:fldCharType="end"/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удлиненные кроеные из кожевенного спилка, с термоизоляционной подкладкой; с усилением из кожевенного спилка на ладонной части и большом пальце; прошитые нитью из параарамидной пряжи; со сплошной манжетой-крагой.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основа: воловий спилок класса А+, прошитая нитью из синтетической (параарамидной) пряжи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покрытие: воловий спилок класса А+ на ладонной части и большом пальце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подкладка: </w:t>
            </w:r>
            <w:r>
              <w:rPr>
                <w:sz w:val="22"/>
                <w:szCs w:val="22"/>
              </w:rPr>
              <w:t xml:space="preserve">из трикотажного полотна с начесом на ладонной части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манжет: сплошная удлиненная крага с подкладкой из хлопчатобумажной ткани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длина изделия: не менее 350 мм толщина: не менее 1,4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утепленные для защиты от искр и брызг расплавленного металла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Р ИСО 11611-2011</w:t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удлиненные кроеные из кожеве</w:t>
            </w:r>
            <w:r>
              <w:rPr>
                <w:sz w:val="22"/>
                <w:szCs w:val="22"/>
              </w:rPr>
              <w:t xml:space="preserve">нного спилка, с подкладкой из трикотажного полотна с начесом на ладонной части; с усилением из кожевенного спилка на ладонной части и большом пальце; прошитые нитью из параарамидной пряжи; со сплошной манжетой-крагой с подкладкой из хлопчатобумажной ткани.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основа: воловий спилок класса А+, прошитая нитью из синтетической (параарамидной) пряжи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покрытие: воловий спилок класса А+ на ладонной части и большом пальце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подкладка: </w:t>
            </w:r>
            <w:r>
              <w:rPr>
                <w:sz w:val="22"/>
                <w:szCs w:val="22"/>
              </w:rPr>
              <w:t xml:space="preserve">искусственный мех из трикотажного полотна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манжет: сплошная удлиненная крага с подкладкой из хлопчатобумажной ткани</w:t>
            </w:r>
            <w:r>
              <w:rPr>
                <w:sz w:val="22"/>
                <w:szCs w:val="22"/>
              </w:rPr>
              <w:t xml:space="preserve">. Д</w:t>
            </w:r>
            <w:r>
              <w:rPr>
                <w:sz w:val="22"/>
                <w:szCs w:val="22"/>
              </w:rPr>
              <w:t xml:space="preserve">лина изделия: не менее 350 мм 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толщина: не менее 1,4 мм.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67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с полимерным покрытием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12.4.252-2013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73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Универсальные защитные перчатки от механических повреждений (порезов, проколов, истирания), высококачественное нитриловое покрытие. Маслобензостойкие, водонепроницаемые, антистатические свойства</w:t>
            </w:r>
            <w:r>
              <w:rPr>
                <w:sz w:val="22"/>
                <w:szCs w:val="22"/>
              </w:rPr>
              <w:t xml:space="preserve">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Техническое описание: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бесшовные на трикотажной основе из смешанной пряжи; с полимерным текстурированным покрытием ладонной части и верхней части пальцев на тыльной стороне; с вязаным трикотажным напульсником с двойным оверлоком. 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основа: бесшовная из хлопкополиэфирной пряжи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плотность (класс) вязки: 10 петель/дюйм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покрытие: из текстурированного латекса ладонной части и верхней части пальцев на тыльной стороне</w:t>
            </w:r>
            <w:r>
              <w:rPr>
                <w:sz w:val="22"/>
                <w:szCs w:val="22"/>
              </w:rPr>
            </w:r>
          </w:p>
          <w:p>
            <w:pPr>
              <w:pStyle w:val="747"/>
              <w:jc w:val="both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</w:t>
            </w:r>
            <w:r>
              <w:rPr>
                <w:sz w:val="22"/>
                <w:szCs w:val="22"/>
              </w:rPr>
              <w:t xml:space="preserve">манжет: вязаный напульсник с двойным оверлоком, длина изделия: не менее 250-260 мм (в зависимости от размера).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7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Маска сварщика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ГОСТ 12.4.254-2013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735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Корпус из нейлона, устойчивый к прогоранию, низким температурам и ударным воздействиям. Наголовное крепление с плавной регулировкой</w:t>
            </w:r>
            <w:r>
              <w:rPr>
                <w:sz w:val="22"/>
                <w:szCs w:val="22"/>
              </w:rPr>
              <w:t xml:space="preserve"> размера и мягким обтюратором. Ручная регулировка степени затемнения.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7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Очки защитные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12.4.001-80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679"/>
              <w:widowControl w:val="off"/>
              <w:tabs>
                <w:tab w:val="left" w:pos="567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Очки универсального применения со сферическими защитными стеклами из оптически прозрачного поликарбоната, с твердым покрытием от истирания и царапания.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679"/>
              <w:widowControl w:val="off"/>
              <w:tabs>
                <w:tab w:val="left" w:pos="567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Надежная защита глаз от </w:t>
            </w:r>
            <w:r>
              <w:rPr>
                <w:color w:val="000000"/>
                <w:sz w:val="22"/>
                <w:szCs w:val="22"/>
              </w:rPr>
              <w:t xml:space="preserve">высокоскоростных летящих частиц с низкоэнергетическим ударом 0,84 Дж при температуре от -50°Cдо +80°C, абразива, УФ-излучения, устойчивы к химическим веществам, растворам кислот и щелочей. Оптический класс 1; Масса – не более 20 г.; Облегающая форма очков;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Отсутствие давления заушников;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679"/>
              <w:widowControl w:val="off"/>
              <w:tabs>
                <w:tab w:val="left" w:pos="567" w:leader="none"/>
              </w:tabs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Дополнительно комплектуются обтюратором для работ в холодное время.</w:t>
            </w:r>
            <w:r>
              <w:rPr>
                <w:color w:val="000000"/>
                <w:sz w:val="22"/>
                <w:szCs w:val="22"/>
              </w:rPr>
            </w:r>
          </w:p>
          <w:p>
            <w:pPr>
              <w:pStyle w:val="735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Защитное стекло из прозрачного бесцветного ударопрочного и термостойкого листового поликарбоната с двусторонним твердым покрытием. Защитное стекло обеспечивает защиту от высокоскоростных частиц, капель жидкостей и оптического излучения;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7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 xml:space="preserve">Наушники противошумные</w:t>
            </w:r>
            <w:r>
              <w:rPr>
                <w:color w:val="000000"/>
                <w:sz w:val="22"/>
                <w:szCs w:val="22"/>
                <w:highlight w:val="yellow"/>
              </w:rPr>
            </w:r>
            <w:r>
              <w:rPr>
                <w:color w:val="000000"/>
                <w:sz w:val="22"/>
                <w:szCs w:val="22"/>
                <w:highlight w:val="yellow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</w:t>
            </w:r>
            <w:r>
              <w:rPr>
                <w:sz w:val="22"/>
                <w:szCs w:val="22"/>
                <w:lang w:val="en-US"/>
              </w:rPr>
              <w:t xml:space="preserve">EN</w:t>
            </w:r>
            <w:r>
              <w:rPr>
                <w:sz w:val="22"/>
                <w:szCs w:val="22"/>
              </w:rPr>
              <w:t xml:space="preserve"> 13819-1-2021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735"/>
              <w:keepNext w:val="0"/>
              <w:widowControl w:val="o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Состоят из двух обтюраторов, двух прокладок, двух держателей и оголовья. Масса не более 300 г. Обладают избирательным поглощением уровня шума, защищают от прои</w:t>
            </w:r>
            <w:r>
              <w:rPr>
                <w:sz w:val="22"/>
                <w:szCs w:val="22"/>
              </w:rPr>
              <w:t xml:space="preserve">з</w:t>
            </w:r>
            <w:r>
              <w:rPr>
                <w:sz w:val="22"/>
                <w:szCs w:val="22"/>
              </w:rPr>
              <w:t xml:space="preserve">водственного шума, но дают возможность различать речь и сигналы опасности. Поглощение шума в соответствии с требованиями ГОСТ </w:t>
            </w:r>
            <w:r>
              <w:rPr>
                <w:sz w:val="22"/>
                <w:szCs w:val="22"/>
                <w:lang w:val="en-US"/>
              </w:rPr>
              <w:t xml:space="preserve">EN</w:t>
            </w:r>
            <w:r>
              <w:rPr>
                <w:sz w:val="22"/>
                <w:szCs w:val="22"/>
              </w:rPr>
              <w:t xml:space="preserve"> 13819-1-2021.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7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резиновые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ГОСТ 20010-93, 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ТУ 2544-49-05747264-94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Перчатки пятипалые пленочные удлиненные, из натурального каучука, без напыления с внутренней стороны (неопудренные); с текстурой на пальцах и ладонной части; с прямой скатанной манжетой.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Конструктивные особенности: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основа: латекс (натуральный каучук), хлорированный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внутренняя поверхность: без напыления (неопудренные)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манжет: прямой скатанный (валик)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длина изделия: удлиненные, не менее 300 мм 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• толщина: 0,28 мм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7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Средство СИЗОД противоа</w:t>
            </w:r>
            <w:r>
              <w:rPr>
                <w:color w:val="000000"/>
                <w:sz w:val="22"/>
                <w:szCs w:val="22"/>
              </w:rPr>
              <w:t xml:space="preserve">эроз</w:t>
            </w:r>
            <w:r>
              <w:rPr>
                <w:color w:val="000000"/>
                <w:sz w:val="22"/>
                <w:szCs w:val="22"/>
              </w:rPr>
              <w:t xml:space="preserve">ольное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73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12.4.041-2001,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73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12.4.191-2011,</w:t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735"/>
              <w:keepNext w:val="0"/>
              <w:widowControl w:val="off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</w:rPr>
              <w:t xml:space="preserve">ГОСТ Р 12.4.244-2013, </w:t>
            </w:r>
            <w:r>
              <w:rPr>
                <w:color w:val="222222"/>
                <w:sz w:val="22"/>
                <w:szCs w:val="22"/>
              </w:rPr>
            </w:r>
          </w:p>
          <w:p>
            <w:pPr>
              <w:pStyle w:val="679"/>
              <w:rPr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ГОСТ</w:t>
            </w:r>
            <w:r>
              <w:rPr>
                <w:color w:val="000000"/>
                <w:sz w:val="22"/>
                <w:szCs w:val="22"/>
              </w:rPr>
              <w:t xml:space="preserve"> 12.4.293-2015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67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Средство индивидуальной защиты орг</w:t>
            </w:r>
            <w:r>
              <w:rPr>
                <w:sz w:val="22"/>
                <w:szCs w:val="22"/>
              </w:rPr>
              <w:t xml:space="preserve">а</w:t>
            </w:r>
            <w:r>
              <w:rPr>
                <w:sz w:val="22"/>
                <w:szCs w:val="22"/>
              </w:rPr>
              <w:t xml:space="preserve">нов дыхания (СИЗОД) противоаэрозол</w:t>
            </w:r>
            <w:r>
              <w:rPr>
                <w:sz w:val="22"/>
                <w:szCs w:val="22"/>
              </w:rPr>
              <w:t xml:space="preserve">ь</w:t>
            </w:r>
            <w:r>
              <w:rPr>
                <w:sz w:val="22"/>
                <w:szCs w:val="22"/>
              </w:rPr>
              <w:t xml:space="preserve">ное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Применяется для защиты органов дыхания от различных видов аэрозолей, присутс</w:t>
            </w:r>
            <w:r>
              <w:rPr>
                <w:sz w:val="22"/>
                <w:szCs w:val="22"/>
              </w:rPr>
              <w:t xml:space="preserve">т</w:t>
            </w:r>
            <w:r>
              <w:rPr>
                <w:sz w:val="22"/>
                <w:szCs w:val="22"/>
              </w:rPr>
              <w:t xml:space="preserve">вующих в воздухе при концентрации не более 200 мг/м².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169" w:type="pct"/>
            <w:vAlign w:val="center"/>
            <w:textDirection w:val="lrTb"/>
            <w:noWrap w:val="false"/>
          </w:tcPr>
          <w:p>
            <w:pPr>
              <w:pStyle w:val="7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839" w:type="pct"/>
            <w:vAlign w:val="top"/>
            <w:textDirection w:val="lrTb"/>
            <w:noWrap w:val="false"/>
          </w:tcPr>
          <w:p>
            <w:pPr>
              <w:pStyle w:val="67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Перчатки трикотажные от ОПЗ с ПВХ</w:t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764" w:type="pct"/>
            <w:vAlign w:val="top"/>
            <w:textDirection w:val="lrTb"/>
            <w:noWrap w:val="false"/>
          </w:tcPr>
          <w:p>
            <w:pPr>
              <w:pStyle w:val="73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ТР ТС 019/2011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pStyle w:val="735"/>
              <w:keepNext w:val="0"/>
              <w:widowControl w:val="off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ГОСТ Р 12.4.252-2013</w:t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W w:w="2104" w:type="pct"/>
            <w:vAlign w:val="top"/>
            <w:textDirection w:val="lrTb"/>
            <w:noWrap w:val="false"/>
          </w:tcPr>
          <w:p>
            <w:pPr>
              <w:pStyle w:val="67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Состав: 70% хлопок, 30% полиэфир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Покрытие: ПВХ точки</w:t>
            </w:r>
            <w:r>
              <w:rPr>
                <w:sz w:val="22"/>
                <w:szCs w:val="22"/>
              </w:rPr>
            </w:r>
          </w:p>
          <w:p>
            <w:pPr>
              <w:pStyle w:val="679"/>
              <w:ind w:firstLine="17"/>
              <w:jc w:val="both"/>
              <w:tabs>
                <w:tab w:val="left" w:pos="1276" w:leader="none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Класс вязки: 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124" w:type="pct"/>
            <w:vAlign w:val="top"/>
            <w:textDirection w:val="lrTb"/>
            <w:noWrap w:val="false"/>
          </w:tcPr>
          <w:p>
            <w:pPr>
              <w:pStyle w:val="6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679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pStyle w:val="679"/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6838" w:h="11906" w:orient="landscape"/>
      <w:pgMar w:top="1243" w:right="426" w:bottom="521" w:left="426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SimSun">
    <w:panose1 w:val="02010600030101010101"/>
  </w:font>
  <w:font w:name="&amp;quot;Times New Roman&amp;quot;,&amp;quot;serif&amp;quot;">
    <w:panose1 w:val="02000603000000000000"/>
  </w:font>
  <w:font w:name="&amp;quot;Times New Roman CYR&amp;quot;,&amp;quot;serif&amp;quot;">
    <w:panose1 w:val="02000603000000000000"/>
  </w:font>
  <w:font w:name="Calibri">
    <w:panose1 w:val="020F0502020204030204"/>
  </w:font>
  <w:font w:name="Verdana">
    <w:panose1 w:val="020B0604030504040204"/>
  </w:font>
  <w:font w:name="Times New Roman">
    <w:panose1 w:val="02020603050405020304"/>
  </w:font>
  <w:font w:name="Tahoma">
    <w:panose1 w:val="020B06040305040402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rPr>
        <w:rStyle w:val="708"/>
      </w:rPr>
      <w:framePr w:wrap="around" w:vAnchor="text" w:hAnchor="margin" w:xAlign="center" w:y="1"/>
    </w:pPr>
    <w:r>
      <w:rPr>
        <w:rStyle w:val="708"/>
      </w:rPr>
      <w:fldChar w:fldCharType="begin"/>
    </w:r>
    <w:r>
      <w:rPr>
        <w:rStyle w:val="708"/>
      </w:rPr>
      <w:instrText xml:space="preserve">PAGE  </w:instrText>
    </w:r>
    <w:r>
      <w:rPr>
        <w:rStyle w:val="708"/>
      </w:rPr>
      <w:fldChar w:fldCharType="separate"/>
    </w:r>
    <w:r>
      <w:rPr>
        <w:rStyle w:val="708"/>
      </w:rPr>
      <w:t xml:space="preserve">6</w:t>
    </w:r>
    <w:r>
      <w:rPr>
        <w:rStyle w:val="708"/>
      </w:rPr>
      <w:fldChar w:fldCharType="end"/>
    </w:r>
    <w:r>
      <w:rPr>
        <w:rStyle w:val="708"/>
      </w:rPr>
    </w:r>
    <w:r>
      <w:rPr>
        <w:rStyle w:val="708"/>
      </w:rPr>
    </w:r>
  </w:p>
  <w:p>
    <w:pPr>
      <w:pStyle w:val="707"/>
      <w:rPr>
        <w:rStyle w:val="708"/>
      </w:rPr>
      <w:framePr w:wrap="around" w:vAnchor="text" w:hAnchor="margin" w:xAlign="right" w:y="1"/>
    </w:pPr>
    <w:r>
      <w:rPr>
        <w:rStyle w:val="708"/>
      </w:rPr>
    </w:r>
    <w:r>
      <w:rPr>
        <w:rStyle w:val="708"/>
      </w:rPr>
    </w:r>
  </w:p>
  <w:p>
    <w:pPr>
      <w:pStyle w:val="707"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-6984</wp:posOffset>
              </wp:positionH>
              <wp:positionV relativeFrom="paragraph">
                <wp:posOffset>11430</wp:posOffset>
              </wp:positionV>
              <wp:extent cx="6724650" cy="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flipH="1">
                        <a:off x="0" y="0"/>
                        <a:ext cx="6724649" cy="0"/>
                      </a:xfrm>
                      <a:prstGeom prst="line">
                        <a:avLst/>
                      </a:prstGeom>
                      <a:noFill/>
                      <a:ln>
                        <a:solidFill>
                          <a:srgbClr val="000000"/>
                        </a:solidFill>
                      </a:ln>
                    </wps:spPr>
                    <wps:bodyPr rot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id="shape 0" o:spid="_x0000_s0" style="position:absolute;left:0;text-align:left;z-index:524288;mso-wrap-distance-left:9.00pt;mso-wrap-distance-top:0.00pt;mso-wrap-distance-right:9.00pt;mso-wrap-distance-bottom:0.00pt;flip:x;visibility:visible;" from="-0.5pt,0.9pt" to="529.0pt,0.9pt" filled="f" strokecolor="#000000"/>
          </w:pict>
        </mc:Fallback>
      </mc:AlternateContent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rPr>
        <w:rStyle w:val="708"/>
      </w:rPr>
      <w:framePr w:wrap="around" w:vAnchor="text" w:hAnchor="margin" w:xAlign="center" w:y="1"/>
    </w:pPr>
    <w:r>
      <w:rPr>
        <w:rStyle w:val="708"/>
      </w:rPr>
      <w:fldChar w:fldCharType="begin"/>
    </w:r>
    <w:r>
      <w:rPr>
        <w:rStyle w:val="708"/>
      </w:rPr>
      <w:instrText xml:space="preserve">PAGE  </w:instrText>
    </w:r>
    <w:r>
      <w:rPr>
        <w:rStyle w:val="708"/>
      </w:rPr>
      <w:fldChar w:fldCharType="separate"/>
    </w:r>
    <w:r>
      <w:rPr>
        <w:rStyle w:val="708"/>
      </w:rPr>
      <w:t xml:space="preserve">2</w:t>
    </w:r>
    <w:r>
      <w:rPr>
        <w:rStyle w:val="708"/>
      </w:rPr>
      <w:fldChar w:fldCharType="end"/>
    </w:r>
    <w:r>
      <w:rPr>
        <w:rStyle w:val="708"/>
      </w:rPr>
    </w:r>
    <w:r>
      <w:rPr>
        <w:rStyle w:val="708"/>
      </w:rPr>
    </w:r>
  </w:p>
  <w:p>
    <w:pPr>
      <w:pStyle w:val="707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2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2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2"/>
      <w:numFmt w:val="decimal"/>
      <w:isLgl w:val="false"/>
      <w:suff w:val="tab"/>
      <w:lvlText w:val="%1.%2."/>
      <w:lvlJc w:val="left"/>
      <w:pPr>
        <w:ind w:left="107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34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51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08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2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2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99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56" w:hanging="1800"/>
      </w:p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9"/>
    <w:next w:val="67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9"/>
    <w:next w:val="67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9"/>
    <w:next w:val="67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9"/>
    <w:next w:val="67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9"/>
    <w:next w:val="67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9"/>
    <w:next w:val="67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9"/>
    <w:next w:val="67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9"/>
    <w:next w:val="67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9"/>
    <w:next w:val="67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9"/>
    <w:next w:val="67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79"/>
    <w:next w:val="67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79"/>
    <w:next w:val="67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9"/>
    <w:next w:val="67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7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7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79"/>
    <w:next w:val="67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7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79"/>
    <w:next w:val="67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9"/>
    <w:next w:val="67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9"/>
    <w:next w:val="67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9"/>
    <w:next w:val="67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9"/>
    <w:next w:val="67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9"/>
    <w:next w:val="67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9"/>
    <w:next w:val="67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9"/>
    <w:next w:val="67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9"/>
    <w:next w:val="67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9"/>
    <w:next w:val="679"/>
    <w:uiPriority w:val="99"/>
    <w:unhideWhenUsed/>
    <w:pPr>
      <w:spacing w:after="0" w:afterAutospacing="0"/>
    </w:pPr>
  </w:style>
  <w:style w:type="paragraph" w:styleId="679" w:default="1">
    <w:name w:val="Normal"/>
    <w:next w:val="679"/>
    <w:link w:val="679"/>
    <w:qFormat/>
    <w:rPr>
      <w:sz w:val="24"/>
      <w:szCs w:val="24"/>
      <w:lang w:val="ru-RU" w:eastAsia="ru-RU" w:bidi="ar-SA"/>
    </w:rPr>
  </w:style>
  <w:style w:type="paragraph" w:styleId="680">
    <w:name w:val="Заголовок 1"/>
    <w:next w:val="679"/>
    <w:link w:val="679"/>
    <w:qFormat/>
    <w:pPr>
      <w:ind w:left="2552"/>
      <w:jc w:val="center"/>
      <w:keepNext/>
      <w:spacing w:before="240" w:after="120"/>
      <w:outlineLvl w:val="0"/>
    </w:pPr>
    <w:rPr>
      <w:rFonts w:ascii="Arial" w:hAnsi="Arial"/>
      <w:b/>
      <w:sz w:val="28"/>
      <w:lang w:val="ru-RU" w:eastAsia="ru-RU" w:bidi="ar-SA"/>
    </w:rPr>
  </w:style>
  <w:style w:type="paragraph" w:styleId="681">
    <w:name w:val="Заголовок 2"/>
    <w:next w:val="679"/>
    <w:link w:val="679"/>
    <w:qFormat/>
    <w:pPr>
      <w:ind w:left="2552"/>
      <w:jc w:val="center"/>
      <w:keepNext/>
      <w:spacing w:before="240" w:after="120"/>
      <w:outlineLvl w:val="1"/>
    </w:pPr>
    <w:rPr>
      <w:rFonts w:ascii="Arial" w:hAnsi="Arial"/>
      <w:sz w:val="28"/>
      <w:lang w:val="ru-RU" w:eastAsia="ru-RU" w:bidi="ar-SA"/>
    </w:rPr>
  </w:style>
  <w:style w:type="paragraph" w:styleId="682">
    <w:name w:val="Заголовок 3"/>
    <w:basedOn w:val="679"/>
    <w:next w:val="679"/>
    <w:link w:val="679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83">
    <w:name w:val="Заголовок 4"/>
    <w:next w:val="679"/>
    <w:link w:val="679"/>
    <w:qFormat/>
    <w:pPr>
      <w:ind w:left="2552"/>
      <w:keepNext/>
      <w:spacing w:before="240" w:after="60"/>
      <w:outlineLvl w:val="3"/>
    </w:pPr>
    <w:rPr>
      <w:rFonts w:ascii="Arial" w:hAnsi="Arial"/>
      <w:b/>
      <w:sz w:val="24"/>
      <w:lang w:val="ru-RU" w:eastAsia="ru-RU" w:bidi="ar-SA"/>
    </w:rPr>
  </w:style>
  <w:style w:type="paragraph" w:styleId="684">
    <w:name w:val="Заголовок 5"/>
    <w:next w:val="679"/>
    <w:link w:val="679"/>
    <w:qFormat/>
    <w:pPr>
      <w:ind w:left="2552"/>
      <w:spacing w:before="240" w:after="60"/>
      <w:outlineLvl w:val="4"/>
    </w:pPr>
    <w:rPr>
      <w:rFonts w:ascii="Arial" w:hAnsi="Arial"/>
      <w:sz w:val="24"/>
      <w:lang w:val="ru-RU" w:eastAsia="ru-RU" w:bidi="ar-SA"/>
    </w:rPr>
  </w:style>
  <w:style w:type="paragraph" w:styleId="685">
    <w:name w:val="Заголовок 6"/>
    <w:next w:val="679"/>
    <w:link w:val="679"/>
    <w:qFormat/>
    <w:pPr>
      <w:ind w:left="2552"/>
      <w:spacing w:before="240" w:after="60"/>
      <w:outlineLvl w:val="5"/>
    </w:pPr>
    <w:rPr>
      <w:i/>
      <w:sz w:val="24"/>
      <w:lang w:val="ru-RU" w:eastAsia="ru-RU" w:bidi="ar-SA"/>
    </w:rPr>
  </w:style>
  <w:style w:type="paragraph" w:styleId="686">
    <w:name w:val="Заголовок 7"/>
    <w:basedOn w:val="680"/>
    <w:next w:val="679"/>
    <w:link w:val="679"/>
    <w:qFormat/>
    <w:pPr>
      <w:jc w:val="right"/>
      <w:outlineLvl w:val="6"/>
    </w:pPr>
  </w:style>
  <w:style w:type="paragraph" w:styleId="687">
    <w:name w:val="Заголовок 8"/>
    <w:basedOn w:val="679"/>
    <w:next w:val="679"/>
    <w:link w:val="679"/>
    <w:qFormat/>
    <w:pPr>
      <w:ind w:left="2552"/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688">
    <w:name w:val="Заголовок 9"/>
    <w:basedOn w:val="679"/>
    <w:next w:val="679"/>
    <w:link w:val="679"/>
    <w:qFormat/>
    <w:pPr>
      <w:ind w:left="2552"/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styleId="689">
    <w:name w:val="Основной шрифт абзаца"/>
    <w:next w:val="689"/>
    <w:link w:val="679"/>
    <w:semiHidden/>
  </w:style>
  <w:style w:type="table" w:styleId="690">
    <w:name w:val="Обычная таблица"/>
    <w:next w:val="690"/>
    <w:link w:val="679"/>
    <w:semiHidden/>
    <w:tblPr/>
  </w:style>
  <w:style w:type="numbering" w:styleId="691">
    <w:name w:val="Нет списка"/>
    <w:next w:val="691"/>
    <w:link w:val="679"/>
    <w:semiHidden/>
  </w:style>
  <w:style w:type="paragraph" w:styleId="692">
    <w:name w:val="Оглавление 1"/>
    <w:basedOn w:val="679"/>
    <w:next w:val="679"/>
    <w:link w:val="679"/>
    <w:semiHidden/>
    <w:pPr>
      <w:jc w:val="center"/>
      <w:spacing w:before="240" w:after="120"/>
      <w:tabs>
        <w:tab w:val="right" w:pos="10131" w:leader="dot"/>
      </w:tabs>
    </w:pPr>
    <w:rPr>
      <w:b/>
      <w:bCs/>
      <w:sz w:val="20"/>
      <w:szCs w:val="20"/>
    </w:rPr>
  </w:style>
  <w:style w:type="paragraph" w:styleId="693">
    <w:name w:val="Оглавление 2"/>
    <w:basedOn w:val="679"/>
    <w:next w:val="679"/>
    <w:link w:val="679"/>
    <w:semiHidden/>
    <w:pPr>
      <w:ind w:left="240"/>
      <w:spacing w:before="120"/>
      <w:tabs>
        <w:tab w:val="left" w:pos="616" w:leader="none"/>
        <w:tab w:val="right" w:pos="10153" w:leader="dot"/>
      </w:tabs>
    </w:pPr>
    <w:rPr>
      <w:i/>
      <w:iCs/>
      <w:sz w:val="20"/>
      <w:szCs w:val="20"/>
    </w:rPr>
  </w:style>
  <w:style w:type="paragraph" w:styleId="694">
    <w:name w:val="Оглавление 3"/>
    <w:basedOn w:val="679"/>
    <w:next w:val="679"/>
    <w:link w:val="679"/>
    <w:semiHidden/>
    <w:pPr>
      <w:ind w:left="480"/>
      <w:tabs>
        <w:tab w:val="right" w:pos="10142" w:leader="dot"/>
      </w:tabs>
    </w:pPr>
    <w:rPr>
      <w:sz w:val="20"/>
      <w:szCs w:val="20"/>
    </w:rPr>
  </w:style>
  <w:style w:type="paragraph" w:styleId="695">
    <w:name w:val="Оглавление 4"/>
    <w:basedOn w:val="679"/>
    <w:next w:val="679"/>
    <w:link w:val="679"/>
    <w:semiHidden/>
    <w:pPr>
      <w:ind w:left="720"/>
    </w:pPr>
    <w:rPr>
      <w:sz w:val="20"/>
      <w:szCs w:val="20"/>
    </w:rPr>
  </w:style>
  <w:style w:type="paragraph" w:styleId="696">
    <w:name w:val="Оглавление 5"/>
    <w:basedOn w:val="679"/>
    <w:next w:val="679"/>
    <w:link w:val="679"/>
    <w:semiHidden/>
    <w:pPr>
      <w:ind w:left="960"/>
    </w:pPr>
    <w:rPr>
      <w:sz w:val="20"/>
      <w:szCs w:val="20"/>
    </w:rPr>
  </w:style>
  <w:style w:type="paragraph" w:styleId="697">
    <w:name w:val="Оглавление 6"/>
    <w:basedOn w:val="679"/>
    <w:next w:val="679"/>
    <w:link w:val="679"/>
    <w:semiHidden/>
    <w:pPr>
      <w:ind w:left="1200"/>
    </w:pPr>
    <w:rPr>
      <w:sz w:val="20"/>
      <w:szCs w:val="20"/>
    </w:rPr>
  </w:style>
  <w:style w:type="paragraph" w:styleId="698">
    <w:name w:val="Оглавление 7"/>
    <w:basedOn w:val="679"/>
    <w:next w:val="679"/>
    <w:link w:val="679"/>
    <w:semiHidden/>
    <w:pPr>
      <w:ind w:left="1440"/>
    </w:pPr>
    <w:rPr>
      <w:sz w:val="20"/>
      <w:szCs w:val="20"/>
    </w:rPr>
  </w:style>
  <w:style w:type="paragraph" w:styleId="699">
    <w:name w:val="Оглавление 8"/>
    <w:basedOn w:val="679"/>
    <w:next w:val="679"/>
    <w:link w:val="679"/>
    <w:semiHidden/>
    <w:pPr>
      <w:ind w:left="1680"/>
    </w:pPr>
    <w:rPr>
      <w:sz w:val="20"/>
      <w:szCs w:val="20"/>
    </w:rPr>
  </w:style>
  <w:style w:type="paragraph" w:styleId="700">
    <w:name w:val="Оглавление 9"/>
    <w:basedOn w:val="679"/>
    <w:next w:val="679"/>
    <w:link w:val="679"/>
    <w:semiHidden/>
    <w:pPr>
      <w:ind w:left="1920"/>
    </w:pPr>
    <w:rPr>
      <w:sz w:val="20"/>
      <w:szCs w:val="20"/>
    </w:rPr>
  </w:style>
  <w:style w:type="character" w:styleId="701">
    <w:name w:val="Гиперссылка"/>
    <w:next w:val="701"/>
    <w:link w:val="679"/>
    <w:uiPriority w:val="99"/>
    <w:rPr>
      <w:color w:val="0000ff"/>
      <w:u w:val="single"/>
    </w:rPr>
  </w:style>
  <w:style w:type="paragraph" w:styleId="702">
    <w:name w:val="Основной текст с отступом 2"/>
    <w:basedOn w:val="679"/>
    <w:next w:val="702"/>
    <w:link w:val="679"/>
    <w:pPr>
      <w:ind w:left="709"/>
      <w:jc w:val="both"/>
      <w:spacing w:line="360" w:lineRule="auto"/>
      <w:widowControl w:val="off"/>
    </w:pPr>
    <w:rPr>
      <w:rFonts w:ascii="Times New Roman CYR" w:hAnsi="Times New Roman CYR" w:cs="Times New Roman CYR"/>
    </w:rPr>
  </w:style>
  <w:style w:type="paragraph" w:styleId="703">
    <w:name w:val="Обычный + Первая строка:  1,03 см"/>
    <w:basedOn w:val="679"/>
    <w:next w:val="703"/>
    <w:link w:val="679"/>
    <w:pPr>
      <w:ind w:left="-22" w:firstLine="594"/>
      <w:jc w:val="both"/>
    </w:pPr>
  </w:style>
  <w:style w:type="paragraph" w:styleId="704">
    <w:name w:val="ТекстОбычный"/>
    <w:next w:val="704"/>
    <w:link w:val="679"/>
    <w:pPr>
      <w:ind w:firstLine="851"/>
      <w:jc w:val="both"/>
      <w:spacing w:line="360" w:lineRule="auto"/>
    </w:pPr>
    <w:rPr>
      <w:sz w:val="24"/>
      <w:lang w:val="ru-RU" w:eastAsia="ru-RU" w:bidi="ar-SA"/>
    </w:rPr>
  </w:style>
  <w:style w:type="paragraph" w:styleId="705">
    <w:name w:val="Основной текст с отступом"/>
    <w:basedOn w:val="679"/>
    <w:next w:val="705"/>
    <w:link w:val="679"/>
    <w:pPr>
      <w:ind w:left="283"/>
      <w:spacing w:after="120"/>
    </w:pPr>
  </w:style>
  <w:style w:type="paragraph" w:styleId="706">
    <w:name w:val="Основной текст с отступом + По ширине,Первая строка:  0 см,Слева:  0 см"/>
    <w:basedOn w:val="705"/>
    <w:next w:val="706"/>
    <w:link w:val="679"/>
    <w:pPr>
      <w:ind w:left="0" w:firstLine="572"/>
      <w:jc w:val="both"/>
    </w:pPr>
  </w:style>
  <w:style w:type="paragraph" w:styleId="707">
    <w:name w:val="Нижний колонтитул"/>
    <w:basedOn w:val="679"/>
    <w:next w:val="707"/>
    <w:link w:val="679"/>
    <w:pPr>
      <w:tabs>
        <w:tab w:val="center" w:pos="4677" w:leader="none"/>
        <w:tab w:val="right" w:pos="9355" w:leader="none"/>
      </w:tabs>
    </w:pPr>
  </w:style>
  <w:style w:type="character" w:styleId="708">
    <w:name w:val="Номер страницы"/>
    <w:basedOn w:val="689"/>
    <w:next w:val="708"/>
    <w:link w:val="679"/>
  </w:style>
  <w:style w:type="paragraph" w:styleId="709">
    <w:name w:val="Основной текст"/>
    <w:basedOn w:val="679"/>
    <w:next w:val="709"/>
    <w:link w:val="679"/>
    <w:pPr>
      <w:spacing w:after="120"/>
    </w:pPr>
  </w:style>
  <w:style w:type="paragraph" w:styleId="710">
    <w:name w:val="Основной текст 2"/>
    <w:basedOn w:val="679"/>
    <w:next w:val="710"/>
    <w:link w:val="679"/>
    <w:pPr>
      <w:spacing w:after="120" w:line="480" w:lineRule="auto"/>
    </w:pPr>
  </w:style>
  <w:style w:type="paragraph" w:styleId="711">
    <w:name w:val="М_списокКрСтрока"/>
    <w:basedOn w:val="679"/>
    <w:next w:val="711"/>
    <w:link w:val="679"/>
    <w:pPr>
      <w:numPr>
        <w:ilvl w:val="10"/>
        <w:numId w:val="0"/>
      </w:numPr>
      <w:ind w:firstLine="851"/>
      <w:jc w:val="both"/>
      <w:spacing w:line="360" w:lineRule="auto"/>
    </w:pPr>
    <w:rPr>
      <w:szCs w:val="20"/>
    </w:rPr>
  </w:style>
  <w:style w:type="paragraph" w:styleId="712">
    <w:name w:val="Н_Список0"/>
    <w:basedOn w:val="704"/>
    <w:next w:val="712"/>
    <w:link w:val="679"/>
    <w:pPr>
      <w:numPr>
        <w:ilvl w:val="11"/>
        <w:numId w:val="0"/>
      </w:numPr>
      <w:ind w:firstLine="0"/>
    </w:pPr>
  </w:style>
  <w:style w:type="paragraph" w:styleId="713">
    <w:name w:val="Основной текст с отступом 3"/>
    <w:basedOn w:val="679"/>
    <w:next w:val="713"/>
    <w:link w:val="679"/>
    <w:pPr>
      <w:ind w:left="283"/>
      <w:spacing w:after="120"/>
    </w:pPr>
    <w:rPr>
      <w:sz w:val="16"/>
      <w:szCs w:val="16"/>
    </w:rPr>
  </w:style>
  <w:style w:type="paragraph" w:styleId="714">
    <w:name w:val="Текст выноски"/>
    <w:basedOn w:val="679"/>
    <w:next w:val="714"/>
    <w:link w:val="679"/>
    <w:semiHidden/>
    <w:rPr>
      <w:rFonts w:ascii="Tahoma" w:hAnsi="Tahoma" w:cs="Tahoma"/>
      <w:sz w:val="16"/>
      <w:szCs w:val="16"/>
    </w:rPr>
  </w:style>
  <w:style w:type="paragraph" w:styleId="715">
    <w:name w:val="М_Список1.5"/>
    <w:basedOn w:val="679"/>
    <w:next w:val="715"/>
    <w:link w:val="679"/>
    <w:pPr>
      <w:numPr>
        <w:ilvl w:val="10"/>
        <w:numId w:val="0"/>
      </w:numPr>
      <w:ind w:left="851"/>
      <w:jc w:val="both"/>
      <w:spacing w:line="360" w:lineRule="auto"/>
    </w:pPr>
    <w:rPr>
      <w:szCs w:val="20"/>
    </w:rPr>
  </w:style>
  <w:style w:type="paragraph" w:styleId="716">
    <w:name w:val="Верхний колонтитул"/>
    <w:basedOn w:val="679"/>
    <w:next w:val="716"/>
    <w:link w:val="733"/>
    <w:uiPriority w:val="99"/>
    <w:pPr>
      <w:tabs>
        <w:tab w:val="center" w:pos="4153" w:leader="none"/>
        <w:tab w:val="right" w:pos="8306" w:leader="none"/>
      </w:tabs>
    </w:pPr>
    <w:rPr>
      <w:sz w:val="22"/>
      <w:szCs w:val="20"/>
      <w:lang w:val="en-US" w:eastAsia="en-US"/>
    </w:rPr>
  </w:style>
  <w:style w:type="paragraph" w:styleId="717">
    <w:name w:val="Обычный (веб)"/>
    <w:basedOn w:val="679"/>
    <w:next w:val="717"/>
    <w:link w:val="679"/>
    <w:pPr>
      <w:jc w:val="both"/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718">
    <w:name w:val="Сетка таблицы"/>
    <w:basedOn w:val="690"/>
    <w:next w:val="718"/>
    <w:link w:val="679"/>
    <w:tblPr/>
  </w:style>
  <w:style w:type="paragraph" w:styleId="719">
    <w:name w:val="Заголовок"/>
    <w:next w:val="709"/>
    <w:link w:val="679"/>
    <w:qFormat/>
    <w:pPr>
      <w:jc w:val="center"/>
      <w:spacing w:before="360" w:after="240"/>
      <w:outlineLvl w:val="0"/>
    </w:pPr>
    <w:rPr>
      <w:rFonts w:cs="Arial"/>
      <w:b/>
      <w:bCs/>
      <w:caps/>
      <w:sz w:val="28"/>
      <w:szCs w:val="32"/>
      <w:lang w:val="ru-RU" w:eastAsia="ru-RU" w:bidi="ar-SA"/>
    </w:rPr>
  </w:style>
  <w:style w:type="paragraph" w:styleId="720">
    <w:name w:val="Обычный 1"/>
    <w:basedOn w:val="679"/>
    <w:next w:val="720"/>
    <w:link w:val="679"/>
    <w:pPr>
      <w:jc w:val="center"/>
      <w:tabs>
        <w:tab w:val="left" w:pos="567" w:leader="none"/>
      </w:tabs>
    </w:pPr>
    <w:rPr>
      <w:rFonts w:ascii="Arial" w:hAnsi="Arial"/>
      <w:b/>
      <w:bCs/>
      <w:sz w:val="22"/>
      <w:szCs w:val="20"/>
      <w:lang w:val="en-US"/>
    </w:rPr>
  </w:style>
  <w:style w:type="character" w:styleId="721">
    <w:name w:val="Обычный 1 Знак"/>
    <w:next w:val="721"/>
    <w:link w:val="679"/>
    <w:rPr>
      <w:rFonts w:ascii="Arial" w:hAnsi="Arial"/>
      <w:b/>
      <w:bCs/>
      <w:sz w:val="22"/>
      <w:lang w:val="en-US" w:eastAsia="ru-RU" w:bidi="ar-SA"/>
    </w:rPr>
  </w:style>
  <w:style w:type="character" w:styleId="722">
    <w:name w:val="Просмотренная гиперссылка"/>
    <w:next w:val="722"/>
    <w:link w:val="679"/>
    <w:rPr>
      <w:color w:val="800080"/>
      <w:u w:val="single"/>
    </w:rPr>
  </w:style>
  <w:style w:type="paragraph" w:styleId="723">
    <w:name w:val="Обычный + полужирный,По ширине"/>
    <w:basedOn w:val="681"/>
    <w:next w:val="723"/>
    <w:link w:val="679"/>
    <w:pPr>
      <w:ind w:left="0"/>
      <w:jc w:val="both"/>
      <w:spacing w:before="0" w:after="0"/>
    </w:pPr>
    <w:rPr>
      <w:rFonts w:ascii="Times New Roman" w:hAnsi="Times New Roman"/>
      <w:b/>
      <w:bCs/>
      <w:sz w:val="24"/>
    </w:rPr>
  </w:style>
  <w:style w:type="paragraph" w:styleId="724">
    <w:name w:val="Указатель 1"/>
    <w:basedOn w:val="679"/>
    <w:next w:val="679"/>
    <w:link w:val="679"/>
    <w:semiHidden/>
    <w:pPr>
      <w:ind w:left="240" w:hanging="240"/>
    </w:pPr>
  </w:style>
  <w:style w:type="paragraph" w:styleId="725">
    <w:name w:val="Указатель"/>
    <w:basedOn w:val="679"/>
    <w:next w:val="724"/>
    <w:link w:val="679"/>
    <w:semiHidden/>
    <w:pPr>
      <w:jc w:val="both"/>
      <w:spacing w:before="60" w:after="60"/>
    </w:pPr>
    <w:rPr>
      <w:rFonts w:ascii="Verdana" w:hAnsi="Verdana"/>
      <w:sz w:val="20"/>
      <w:szCs w:val="20"/>
      <w:lang w:val="en-GB" w:eastAsia="en-US"/>
    </w:rPr>
  </w:style>
  <w:style w:type="paragraph" w:styleId="726">
    <w:name w:val="Название объекта"/>
    <w:basedOn w:val="679"/>
    <w:next w:val="679"/>
    <w:link w:val="679"/>
    <w:qFormat/>
    <w:pPr>
      <w:jc w:val="center"/>
      <w:spacing w:before="60" w:after="240"/>
    </w:pPr>
    <w:rPr>
      <w:rFonts w:ascii="Verdana" w:hAnsi="Verdana"/>
      <w:b/>
      <w:sz w:val="16"/>
      <w:szCs w:val="20"/>
      <w:lang w:val="en-GB" w:eastAsia="en-US"/>
    </w:rPr>
  </w:style>
  <w:style w:type="paragraph" w:styleId="727">
    <w:name w:val="Нумерованный список"/>
    <w:basedOn w:val="679"/>
    <w:next w:val="727"/>
    <w:link w:val="679"/>
    <w:pPr>
      <w:numPr>
        <w:ilvl w:val="0"/>
        <w:numId w:val="1"/>
      </w:numPr>
    </w:pPr>
  </w:style>
  <w:style w:type="character" w:styleId="728">
    <w:name w:val="комментарий"/>
    <w:next w:val="728"/>
    <w:link w:val="679"/>
    <w:rPr>
      <w:b/>
      <w:bCs/>
      <w:i/>
      <w:iCs/>
      <w:sz w:val="28"/>
    </w:rPr>
  </w:style>
  <w:style w:type="paragraph" w:styleId="729">
    <w:name w:val="Схема документа"/>
    <w:basedOn w:val="679"/>
    <w:next w:val="729"/>
    <w:link w:val="679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730">
    <w:name w:val="Абзац списка"/>
    <w:basedOn w:val="679"/>
    <w:next w:val="730"/>
    <w:link w:val="679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731">
    <w:name w:val=".EDA_PARAGRAPH"/>
    <w:next w:val="731"/>
    <w:link w:val="679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paragraph" w:styleId="732">
    <w:name w:val=".MSONORMAL"/>
    <w:next w:val="732"/>
    <w:link w:val="679"/>
    <w:uiPriority w:val="99"/>
    <w:pPr>
      <w:widowControl w:val="off"/>
    </w:pPr>
    <w:rPr>
      <w:rFonts w:ascii="&quot;Times New Roman CYR&quot;,&quot;serif&quot;" w:hAnsi="&quot;Times New Roman CYR&quot;,&quot;serif&quot;"/>
      <w:sz w:val="24"/>
      <w:szCs w:val="24"/>
      <w:lang w:val="ru-RU" w:eastAsia="ru-RU" w:bidi="ar-SA"/>
    </w:rPr>
  </w:style>
  <w:style w:type="character" w:styleId="733">
    <w:name w:val="Верхний колонтитул Знак"/>
    <w:next w:val="733"/>
    <w:link w:val="716"/>
    <w:uiPriority w:val="99"/>
    <w:rPr>
      <w:sz w:val="22"/>
    </w:rPr>
  </w:style>
  <w:style w:type="paragraph" w:styleId="734">
    <w:name w:val="МРСК_таблица_заголовок"/>
    <w:basedOn w:val="679"/>
    <w:next w:val="734"/>
    <w:link w:val="679"/>
    <w:pPr>
      <w:jc w:val="center"/>
      <w:keepNext/>
    </w:pPr>
    <w:rPr>
      <w:sz w:val="20"/>
      <w:szCs w:val="20"/>
    </w:rPr>
  </w:style>
  <w:style w:type="paragraph" w:styleId="735">
    <w:name w:val="МРСК_таблица_текст"/>
    <w:basedOn w:val="734"/>
    <w:next w:val="735"/>
    <w:link w:val="679"/>
    <w:pPr>
      <w:jc w:val="both"/>
    </w:pPr>
  </w:style>
  <w:style w:type="paragraph" w:styleId="736">
    <w:name w:val="МРСК_шрифт_абзаца"/>
    <w:basedOn w:val="679"/>
    <w:next w:val="736"/>
    <w:link w:val="737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lang w:val="en-US" w:eastAsia="en-US"/>
    </w:rPr>
  </w:style>
  <w:style w:type="character" w:styleId="737">
    <w:name w:val="МРСК_шрифт_абзаца Знак"/>
    <w:next w:val="737"/>
    <w:link w:val="736"/>
    <w:rPr>
      <w:sz w:val="24"/>
      <w:szCs w:val="24"/>
      <w:lang w:val="en-US" w:eastAsia="en-US"/>
    </w:rPr>
  </w:style>
  <w:style w:type="paragraph" w:styleId="738">
    <w:name w:val=".MSONORMALCXSPMIDDLE"/>
    <w:next w:val="738"/>
    <w:link w:val="679"/>
    <w:uiPriority w:val="99"/>
    <w:pPr>
      <w:widowControl w:val="off"/>
    </w:pPr>
    <w:rPr>
      <w:rFonts w:ascii="&quot;Times New Roman&quot;,&quot;serif&quot;" w:hAnsi="&quot;Times New Roman&quot;,&quot;serif&quot;"/>
      <w:sz w:val="24"/>
      <w:szCs w:val="24"/>
      <w:lang w:val="ru-RU" w:eastAsia="ru-RU" w:bidi="ar-SA"/>
    </w:rPr>
  </w:style>
  <w:style w:type="paragraph" w:styleId="739">
    <w:name w:val="Без интервала"/>
    <w:next w:val="739"/>
    <w:link w:val="740"/>
    <w:uiPriority w:val="1"/>
    <w:qFormat/>
    <w:rPr>
      <w:rFonts w:ascii="Calibri" w:hAnsi="Calibri"/>
      <w:sz w:val="22"/>
      <w:szCs w:val="22"/>
      <w:lang w:val="ru-RU" w:eastAsia="en-US" w:bidi="ar-SA"/>
    </w:rPr>
  </w:style>
  <w:style w:type="character" w:styleId="740">
    <w:name w:val="Без интервала Знак"/>
    <w:next w:val="740"/>
    <w:link w:val="739"/>
    <w:uiPriority w:val="1"/>
    <w:rPr>
      <w:rFonts w:ascii="Calibri" w:hAnsi="Calibri"/>
      <w:sz w:val="22"/>
      <w:szCs w:val="22"/>
      <w:lang w:eastAsia="en-US"/>
    </w:rPr>
  </w:style>
  <w:style w:type="character" w:styleId="741">
    <w:name w:val="Знак примечания"/>
    <w:next w:val="741"/>
    <w:link w:val="679"/>
    <w:rPr>
      <w:sz w:val="16"/>
      <w:szCs w:val="16"/>
    </w:rPr>
  </w:style>
  <w:style w:type="paragraph" w:styleId="742">
    <w:name w:val="Текст примечания"/>
    <w:basedOn w:val="679"/>
    <w:next w:val="742"/>
    <w:link w:val="743"/>
    <w:rPr>
      <w:sz w:val="20"/>
      <w:szCs w:val="20"/>
    </w:rPr>
  </w:style>
  <w:style w:type="character" w:styleId="743">
    <w:name w:val="Текст примечания Знак"/>
    <w:basedOn w:val="689"/>
    <w:next w:val="743"/>
    <w:link w:val="742"/>
  </w:style>
  <w:style w:type="paragraph" w:styleId="744">
    <w:name w:val="Тема примечания"/>
    <w:basedOn w:val="742"/>
    <w:next w:val="742"/>
    <w:link w:val="745"/>
    <w:rPr>
      <w:b/>
      <w:bCs/>
    </w:rPr>
  </w:style>
  <w:style w:type="character" w:styleId="745">
    <w:name w:val="Тема примечания Знак"/>
    <w:next w:val="745"/>
    <w:link w:val="744"/>
    <w:rPr>
      <w:b/>
      <w:bCs/>
    </w:rPr>
  </w:style>
  <w:style w:type="paragraph" w:styleId="746">
    <w:name w:val="Рецензия"/>
    <w:next w:val="746"/>
    <w:link w:val="679"/>
    <w:hidden/>
    <w:uiPriority w:val="99"/>
    <w:semiHidden/>
    <w:rPr>
      <w:sz w:val="24"/>
      <w:szCs w:val="24"/>
      <w:lang w:val="ru-RU" w:eastAsia="ru-RU" w:bidi="ar-SA"/>
    </w:rPr>
  </w:style>
  <w:style w:type="paragraph" w:styleId="747">
    <w:name w:val="Default"/>
    <w:next w:val="747"/>
    <w:link w:val="679"/>
    <w:pPr>
      <w:spacing w:line="100" w:lineRule="atLeast"/>
    </w:pPr>
    <w:rPr>
      <w:rFonts w:eastAsia="SimSun"/>
      <w:color w:val="000000"/>
      <w:sz w:val="24"/>
      <w:szCs w:val="24"/>
      <w:lang w:val="ru-RU" w:eastAsia="hi-IN" w:bidi="hi-IN"/>
    </w:rPr>
  </w:style>
  <w:style w:type="paragraph" w:styleId="748">
    <w:name w:val="МРСК_заголовок_средний"/>
    <w:basedOn w:val="679"/>
    <w:next w:val="748"/>
    <w:link w:val="679"/>
    <w:pPr>
      <w:jc w:val="center"/>
      <w:keepNext/>
      <w:spacing w:before="240" w:after="120"/>
    </w:pPr>
    <w:rPr>
      <w:b/>
      <w:caps/>
      <w:sz w:val="28"/>
      <w:szCs w:val="28"/>
    </w:rPr>
  </w:style>
  <w:style w:type="character" w:styleId="2097" w:default="1">
    <w:name w:val="Default Paragraph Font"/>
    <w:uiPriority w:val="1"/>
    <w:semiHidden/>
    <w:unhideWhenUsed/>
  </w:style>
  <w:style w:type="numbering" w:styleId="2098" w:default="1">
    <w:name w:val="No List"/>
    <w:uiPriority w:val="99"/>
    <w:semiHidden/>
    <w:unhideWhenUsed/>
  </w:style>
  <w:style w:type="table" w:styleId="209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home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p4</dc:creator>
  <cp:revision>13</cp:revision>
  <dcterms:created xsi:type="dcterms:W3CDTF">2023-09-05T06:42:00Z</dcterms:created>
  <dcterms:modified xsi:type="dcterms:W3CDTF">2024-04-01T09:16:12Z</dcterms:modified>
  <cp:version>1048576</cp:version>
</cp:coreProperties>
</file>